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250D" w:rsidRPr="00A9250D" w:rsidRDefault="00A9250D" w:rsidP="00A9250D">
      <w:pPr>
        <w:widowControl/>
        <w:jc w:val="left"/>
        <w:rPr>
          <w:rFonts w:ascii="微软雅黑" w:eastAsia="微软雅黑" w:hAnsi="微软雅黑" w:cs="宋体" w:hint="eastAsia"/>
          <w:color w:val="171A1D"/>
          <w:kern w:val="0"/>
          <w:szCs w:val="21"/>
          <w:shd w:val="clear" w:color="auto" w:fill="F1F2F3"/>
        </w:rPr>
      </w:pPr>
      <w:r w:rsidRPr="00A9250D">
        <w:rPr>
          <w:rFonts w:ascii="微软雅黑" w:eastAsia="微软雅黑" w:hAnsi="微软雅黑" w:cs="宋体" w:hint="eastAsia"/>
          <w:color w:val="171A1D"/>
          <w:kern w:val="0"/>
          <w:szCs w:val="21"/>
          <w:shd w:val="clear" w:color="auto" w:fill="F1F2F3"/>
        </w:rPr>
        <w:t>名称：富血小板血浆（PRP）制备用套装技术参数：1 产品资质为III类国械注准。1 套装内配置40ml或60ml两种规格的双离心管，且套装内自带抗凝剂,。2 离心管中不含分离凝胶等任何具有细胞毒性成分且具有毒性检测报告。3 离心管内壁仿生结构，模仿人体血管内壁防止制作过程中血液成分破坏4 离心管和喷枪包为专利设计产品。5 根据需求分为多种规格，可将PRP做成液态或凝胶状6 可根据临床需求制作成P-PRP(贫白），L-PRP（富白）,PPP,PRF。7 最大采血量：120ml/套（可根据需求调节）8 PRP提取量：3-20ml /套（可根据需求调节）9 PRP浓度：全血的3-8倍（可根据需求调节）10 可覆盖最大创面面积：10cm*20cm/套 11 专用离心机仓容量1000ml，噪音低于70db,单次最大血液制作承载量为240ml。</w:t>
      </w:r>
    </w:p>
    <w:p w:rsidR="00120FD7" w:rsidRDefault="00A9250D" w:rsidP="00A9250D">
      <w:r w:rsidRPr="00A9250D">
        <w:rPr>
          <w:rFonts w:ascii="微软雅黑" w:eastAsia="微软雅黑" w:hAnsi="微软雅黑" w:cs="宋体" w:hint="eastAsia"/>
          <w:color w:val="171A1D"/>
          <w:kern w:val="0"/>
          <w:szCs w:val="21"/>
          <w:shd w:val="clear" w:color="auto" w:fill="F1F2F3"/>
        </w:rPr>
        <w:t>6月16日 16:30</w:t>
      </w:r>
    </w:p>
    <w:sectPr w:rsidR="00120F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20FD7" w:rsidRDefault="00120FD7" w:rsidP="00A9250D">
      <w:r>
        <w:separator/>
      </w:r>
    </w:p>
  </w:endnote>
  <w:endnote w:type="continuationSeparator" w:id="1">
    <w:p w:rsidR="00120FD7" w:rsidRDefault="00120FD7" w:rsidP="00A9250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20FD7" w:rsidRDefault="00120FD7" w:rsidP="00A9250D">
      <w:r>
        <w:separator/>
      </w:r>
    </w:p>
  </w:footnote>
  <w:footnote w:type="continuationSeparator" w:id="1">
    <w:p w:rsidR="00120FD7" w:rsidRDefault="00120FD7" w:rsidP="00A9250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9250D"/>
    <w:rsid w:val="00120FD7"/>
    <w:rsid w:val="00A9250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9250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9250D"/>
    <w:rPr>
      <w:sz w:val="18"/>
      <w:szCs w:val="18"/>
    </w:rPr>
  </w:style>
  <w:style w:type="paragraph" w:styleId="a4">
    <w:name w:val="footer"/>
    <w:basedOn w:val="a"/>
    <w:link w:val="Char0"/>
    <w:uiPriority w:val="99"/>
    <w:semiHidden/>
    <w:unhideWhenUsed/>
    <w:rsid w:val="00A9250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9250D"/>
    <w:rPr>
      <w:sz w:val="18"/>
      <w:szCs w:val="18"/>
    </w:rPr>
  </w:style>
</w:styles>
</file>

<file path=word/webSettings.xml><?xml version="1.0" encoding="utf-8"?>
<w:webSettings xmlns:r="http://schemas.openxmlformats.org/officeDocument/2006/relationships" xmlns:w="http://schemas.openxmlformats.org/wordprocessingml/2006/main">
  <w:divs>
    <w:div w:id="429741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57</Words>
  <Characters>327</Characters>
  <Application>Microsoft Office Word</Application>
  <DocSecurity>0</DocSecurity>
  <Lines>2</Lines>
  <Paragraphs>1</Paragraphs>
  <ScaleCrop>false</ScaleCrop>
  <Company>微软中国</Company>
  <LinksUpToDate>false</LinksUpToDate>
  <CharactersWithSpaces>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2</cp:revision>
  <dcterms:created xsi:type="dcterms:W3CDTF">2022-06-17T23:48:00Z</dcterms:created>
  <dcterms:modified xsi:type="dcterms:W3CDTF">2022-06-17T23:48:00Z</dcterms:modified>
</cp:coreProperties>
</file>