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放疗定位体膜议价参数：</w:t>
      </w: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本次议价体膜包含大S头颈肩膜、胸腹体膜、腹盆腔体膜及真空垫四种，其中前3项统一报价。</w:t>
      </w: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上述定位体膜应与科室定位体架及一体定位体架相适用。</w:t>
      </w: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体膜水中软化温度不高于95摄氏度。</w:t>
      </w: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软化及冷却时间不大于3分钟。</w:t>
      </w: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体膜应有较好的塑形性，在患者体型及体重未见明显变化的情况下，体膜不能有较明显的形变。</w:t>
      </w: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体膜与患者皮肤接触时具有良好的安全性，</w:t>
      </w:r>
      <w:bookmarkStart w:id="0" w:name="_GoBack"/>
      <w:bookmarkEnd w:id="0"/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应符合符合相关医疗器械准入规定。</w:t>
      </w: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提供体膜配套全碳维一体体架3套（含配套头枕、体位固定、治疗床适配条等配件）。</w:t>
      </w: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提供体膜定位金点及标记记号笔（与每次体膜数量相适应）。</w:t>
      </w: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提供真空垫充气泵及接口软管。</w:t>
      </w: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体膜应外表光滑，硬化后不能出现明显可能划伤患者的棱角。</w:t>
      </w:r>
    </w:p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体膜完好率大于95%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586F74"/>
    <w:rsid w:val="05516704"/>
    <w:rsid w:val="0C775FD5"/>
    <w:rsid w:val="1B586F74"/>
    <w:rsid w:val="32025E1F"/>
    <w:rsid w:val="42AB706B"/>
    <w:rsid w:val="50853E8E"/>
    <w:rsid w:val="517B745C"/>
    <w:rsid w:val="74714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2022-05-26T02:55:00Z</dcterms:created>
  <dc:creator>Administrator</dc:creator>
  <cp:lastModifiedBy>Administrator</cp:lastModifiedBy>
  <dcterms:modified xsi:type="dcterms:W3CDTF">2022-05-30T00:55:07Z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